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"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Наукові статті Іншиної Н.М.  у виданнях, </w:t>
      </w:r>
    </w:p>
    <w:p w:rsidR="00000000" w:rsidDel="00000000" w:rsidP="00000000" w:rsidRDefault="00000000" w:rsidRPr="00000000" w14:paraId="00000002">
      <w:pPr>
        <w:ind w:left="360" w:firstLine="0"/>
        <w:jc w:val="center"/>
        <w:rPr>
          <w:b w:val="1"/>
          <w:i w:val="1"/>
          <w:sz w:val="28"/>
          <w:szCs w:val="28"/>
        </w:rPr>
      </w:pPr>
      <w:bookmarkStart w:colFirst="0" w:colLast="0" w:name="_heading=h.8fk71x5s9a0h" w:id="0"/>
      <w:bookmarkEnd w:id="0"/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що індексуються БД SCOPUS</w:t>
      </w:r>
    </w:p>
    <w:p w:rsidR="00000000" w:rsidDel="00000000" w:rsidP="00000000" w:rsidRDefault="00000000" w:rsidRPr="00000000" w14:paraId="00000003">
      <w:pPr>
        <w:ind w:left="-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-566.9291338582675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Калиман П.А., Иншина Н.Н. Активность 5-аминолевулинатсинтазы в печени крыс в условиях деградации цитохрома Р-450 при введении хлорида кадмия // Укр. биохим. журн. – 2003. – Т. 75, № 2. – С. 99-102.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-566.9291338582675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Калиман П.А., Иншина Н.Н., Стрельченко Е.В. Активность ключевых ферментов метаболизма гема и содержание цитохрома Р-450 в печени крыс при экспериментальном рабдомиолизе и гемолитической анемии // Укр. биохим. журн. – 2003. – Т. 75, № 3. – С. 109-114.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-566.9291338582675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Каліман П.А., Cтрельченко К.В., Бараннік Т.В., Нікітченко І.В., Іншина Н.М., Павиченко О.В., Филимоненко В.П. Метаболізм гему та гемопротеїнів і деякі показники антиоксидантної системи в еритроцитах і тканинах щурів при фенілгідразиновій анемії // Фізіологічний журнал. – 2003. – Т. 49, № 2. – С. 66-72.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-566.929133858267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P.A. Kaliman, T. Barannic, E. Strelchenko, N. Inshyna, O. Sokol Intracellular redistribution of heme in rat liver under oxidative stress: the role of heme synthesis // Cell Biology International. – 2005. – Vol.29. – P. 9-14.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-566.929133858267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T.V. Barannik, N.M. Inshina, P.A. Kaliman Free heme pool and activity of key enzyme of heme synthesis in the rat liver under action of agents affecting reduced glutathione level // Укр. биохим. журн. – 2005. – Т. 77, № 5. – С. 120-122.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-566.9291338582675" w:firstLine="0"/>
        <w:jc w:val="both"/>
        <w:rPr>
          <w:sz w:val="28"/>
          <w:szCs w:val="28"/>
        </w:rPr>
      </w:pPr>
      <w:bookmarkStart w:colFirst="0" w:colLast="0" w:name="_heading=h.dgovh01ewpma" w:id="1"/>
      <w:bookmarkEnd w:id="1"/>
      <w:r w:rsidDel="00000000" w:rsidR="00000000" w:rsidRPr="00000000">
        <w:rPr>
          <w:sz w:val="28"/>
          <w:szCs w:val="28"/>
          <w:rtl w:val="0"/>
        </w:rPr>
        <w:t xml:space="preserve">N.M. Inshyna, I.V. Chorna, L.O. Primova, Y.V. Khyzhnia Biosensors: design, classification and application / N.M. Inshyna, I.V. Chorna, L.O. Primova, Y.V. Khyzhnia // Journal of Nano- and electronic physics – 2020 – Vol.12, № 3. – P. 1 – 9. </w:t>
      </w: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doi.org/10.21272/jnep.12(3).03033.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-566.9291338582675" w:firstLine="0"/>
        <w:jc w:val="both"/>
        <w:rPr>
          <w:sz w:val="28"/>
          <w:szCs w:val="28"/>
        </w:rPr>
      </w:pPr>
      <w:bookmarkStart w:colFirst="0" w:colLast="0" w:name="_heading=h.hmtolx6k5c5g" w:id="2"/>
      <w:bookmarkEnd w:id="2"/>
      <w:r w:rsidDel="00000000" w:rsidR="00000000" w:rsidRPr="00000000">
        <w:rPr>
          <w:sz w:val="28"/>
          <w:szCs w:val="28"/>
          <w:rtl w:val="0"/>
        </w:rPr>
        <w:t xml:space="preserve">Inshyna N., Chorna I., Hrebenyk L., Primova L. The impact of the COVID-19 pandemic on mental health of medical students: gander aspects. EUMJ. 2022; 10 (3) – P. 283-291. DOI: </w:t>
      </w:r>
      <w:hyperlink r:id="rId7">
        <w:r w:rsidDel="00000000" w:rsidR="00000000" w:rsidRPr="00000000">
          <w:rPr>
            <w:color w:val="000000"/>
            <w:sz w:val="28"/>
            <w:szCs w:val="28"/>
            <w:u w:val="none"/>
            <w:rtl w:val="0"/>
          </w:rPr>
          <w:t xml:space="preserve">https://doi.org/10.21272/eumj.2022;10(3):283-291</w:t>
        </w:r>
      </w:hyperlink>
      <w:r w:rsidDel="00000000" w:rsidR="00000000" w:rsidRPr="00000000">
        <w:rPr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-566.9291338582675" w:firstLine="0"/>
        <w:jc w:val="both"/>
        <w:rPr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N. Inshyna and I. Chorna, "Ethical and Societal Aspects of Nanotechnology Applications in  Medicine," // </w:t>
      </w:r>
      <w:r w:rsidDel="00000000" w:rsidR="00000000" w:rsidRPr="00000000">
        <w:rPr>
          <w:i w:val="0"/>
          <w:color w:val="333333"/>
          <w:sz w:val="28"/>
          <w:szCs w:val="28"/>
          <w:highlight w:val="white"/>
          <w:rtl w:val="0"/>
        </w:rPr>
        <w:t xml:space="preserve">2022 IEEE 12th International Conference Nanomaterials: Applications &amp; Properties (NAP)</w:t>
      </w:r>
      <w:r w:rsidDel="00000000" w:rsidR="00000000" w:rsidRPr="00000000">
        <w:rPr>
          <w:i w:val="1"/>
          <w:color w:val="333333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2022. - Р. 1</w:t>
      </w:r>
      <w:r w:rsidDel="00000000" w:rsidR="00000000" w:rsidRPr="00000000">
        <w:rPr>
          <w:sz w:val="28"/>
          <w:szCs w:val="28"/>
          <w:rtl w:val="0"/>
        </w:rPr>
        <w:t xml:space="preserve">–</w:t>
      </w: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5, doi: 10.1109/NAP55339.2022.9934298.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-566.929133858267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N. Inshyna and I. Chorna, "Nanobiotechnology in Medicine: Medical Students' Awareness," 2023 IEEE 13th International Conference Nanomaterials: Applications &amp; Properties (NAP), Bratislava, Slovakia, 2023, pp. NRA13-1- NRA13-4, doi: 10.1109/NAP59739.2023.10310991.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-566.9291338582675" w:firstLine="0"/>
        <w:jc w:val="both"/>
        <w:rPr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N. M. Inshyna, I.V. Chorna, </w:t>
      </w:r>
      <w:r w:rsidDel="00000000" w:rsidR="00000000" w:rsidRPr="00000000">
        <w:rPr>
          <w:sz w:val="28"/>
          <w:szCs w:val="28"/>
          <w:rtl w:val="0"/>
        </w:rPr>
        <w:t xml:space="preserve">MEDICAL STUDENTS’ MENTAL HEALTH IN THE COVID-19 PANDEMIC //Medicni perspektivi. 2024;29(1):158-163), https://doi.org/10.26641/2307-0404.2024.1.301146.</w:t>
      </w:r>
    </w:p>
    <w:p w:rsidR="00000000" w:rsidDel="00000000" w:rsidP="00000000" w:rsidRDefault="00000000" w:rsidRPr="00000000" w14:paraId="0000000E">
      <w:pPr>
        <w:ind w:left="-566.92913385826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0.7874015748032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unhideWhenUsed w:val="1"/>
    <w:rsid w:val="00E662CB"/>
    <w:rPr>
      <w:color w:val="0563c1"/>
      <w:u w:val="single"/>
    </w:rPr>
  </w:style>
  <w:style w:type="character" w:styleId="a4">
    <w:name w:val="Emphasis"/>
    <w:uiPriority w:val="20"/>
    <w:qFormat w:val="1"/>
    <w:rsid w:val="00E662C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21272/eumj.2022;10(3):283-29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Nm+fqx6jMmPdOz6uO6sUXisgw==">CgMxLjAyDmguOGZrNzF4NXM5YTBoMg5oLmRnb3ZoMDFld3BtYTIOaC5obXRvbHg2azVjNWc4AHIhMVRXT1RyNkdxc1psRk92b1dWSHlJeW1JYWowTG1KdE9D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2025-10-22T08:58:00Z</dcterms:created>
  <dc:creator>User</dc:creator>
</cp:coreProperties>
</file>